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5193" w14:textId="77777777" w:rsidR="00D4244C" w:rsidRPr="00702398" w:rsidRDefault="00D4244C" w:rsidP="00D4244C">
      <w:pPr>
        <w:shd w:val="clear" w:color="auto" w:fill="F7CAAC" w:themeFill="accent2" w:themeFillTint="66"/>
        <w:jc w:val="both"/>
        <w:rPr>
          <w:b/>
          <w:sz w:val="28"/>
          <w:szCs w:val="28"/>
        </w:rPr>
      </w:pPr>
      <w:r w:rsidRPr="00702398">
        <w:rPr>
          <w:b/>
          <w:sz w:val="28"/>
          <w:szCs w:val="28"/>
        </w:rPr>
        <w:t>Refund</w:t>
      </w:r>
      <w:r>
        <w:rPr>
          <w:b/>
          <w:sz w:val="28"/>
          <w:szCs w:val="28"/>
        </w:rPr>
        <w:t>s</w:t>
      </w:r>
      <w:r w:rsidRPr="00702398">
        <w:rPr>
          <w:b/>
          <w:sz w:val="28"/>
          <w:szCs w:val="28"/>
        </w:rPr>
        <w:t xml:space="preserve"> and Compensation Policy</w:t>
      </w:r>
    </w:p>
    <w:p w14:paraId="04D83811" w14:textId="65DA2029" w:rsidR="00D4244C" w:rsidRPr="00702398" w:rsidRDefault="00D4244C" w:rsidP="00D4244C">
      <w:pPr>
        <w:spacing w:after="0" w:line="240" w:lineRule="auto"/>
        <w:jc w:val="both"/>
        <w:rPr>
          <w:rFonts w:ascii="Calibri" w:hAnsi="Calibri" w:cs="Calibri"/>
        </w:rPr>
      </w:pPr>
      <w:r w:rsidRPr="00702398">
        <w:rPr>
          <w:rFonts w:ascii="Calibri" w:hAnsi="Calibri" w:cs="Calibri"/>
        </w:rPr>
        <w:t xml:space="preserve">The purpose of this policy is to set out the arrangements for the refund of tuition fees that apply to students. This policy also outlines the circumstances when the college may consider the payment of compensation to students. This policy is not intended, in the first instance, to be used to resolve academic disputes relating to student success. It aims to provide a clear and simple framework, so that students can understand when they may be entitled to compensation or a refund of tuition fees or another type of remedy and how to make a claim. </w:t>
      </w:r>
      <w:r>
        <w:rPr>
          <w:rFonts w:ascii="Calibri" w:hAnsi="Calibri" w:cs="Calibri"/>
        </w:rPr>
        <w:t>‘Learners’ and ‘Students’</w:t>
      </w:r>
      <w:r w:rsidRPr="00702398">
        <w:rPr>
          <w:rFonts w:ascii="Calibri" w:hAnsi="Calibri" w:cs="Calibri"/>
        </w:rPr>
        <w:t xml:space="preserve"> are interchangeable terms within this policy as the former tends to apply in the further education sector and the latter in higher education. </w:t>
      </w:r>
    </w:p>
    <w:p w14:paraId="75EB9879" w14:textId="77777777" w:rsidR="00D4244C" w:rsidRPr="00702398" w:rsidRDefault="00D4244C" w:rsidP="00D4244C">
      <w:pPr>
        <w:spacing w:after="0" w:line="240" w:lineRule="auto"/>
        <w:jc w:val="both"/>
        <w:rPr>
          <w:rFonts w:ascii="Calibri" w:hAnsi="Calibri" w:cs="Calibri"/>
        </w:rPr>
      </w:pPr>
    </w:p>
    <w:p w14:paraId="6A4551EA"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 xml:space="preserve">The funding and regulation of higher education in England changed in April 2018 when the Office for Students (OFS) became fully operational. The OFS has a remit to create and oversee a regulatory </w:t>
      </w:r>
    </w:p>
    <w:p w14:paraId="006476DF"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 xml:space="preserve">environment in higher education which puts the interests of students at the heart of the system, focusing on choice and competition. The OFS requires a Student Protection Plan incorporating an assessment of the range of risks to the continuation of study for the college’s students and risk mitigation measures and information about the policy in place to refund tuition fees and other relevant costs to the college’s students and to provide compensation where necessary </w:t>
      </w:r>
      <w:proofErr w:type="gramStart"/>
      <w:r w:rsidRPr="00702398">
        <w:rPr>
          <w:rFonts w:ascii="Calibri" w:hAnsi="Calibri" w:cs="Calibri"/>
        </w:rPr>
        <w:t>in the event that</w:t>
      </w:r>
      <w:proofErr w:type="gramEnd"/>
      <w:r w:rsidRPr="00702398">
        <w:rPr>
          <w:rFonts w:ascii="Calibri" w:hAnsi="Calibri" w:cs="Calibri"/>
        </w:rPr>
        <w:t xml:space="preserve"> the college is no longer able to preserve continuation of study. </w:t>
      </w:r>
    </w:p>
    <w:p w14:paraId="2930FBF7" w14:textId="77777777" w:rsidR="00D4244C" w:rsidRPr="00702398" w:rsidRDefault="00D4244C" w:rsidP="00D4244C">
      <w:pPr>
        <w:spacing w:after="0" w:line="240" w:lineRule="auto"/>
        <w:jc w:val="both"/>
        <w:rPr>
          <w:rFonts w:ascii="Calibri" w:hAnsi="Calibri" w:cs="Calibri"/>
        </w:rPr>
      </w:pPr>
    </w:p>
    <w:p w14:paraId="573EF9FD"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CECOs does not offer bursaries to students.</w:t>
      </w:r>
    </w:p>
    <w:p w14:paraId="26093D2C" w14:textId="77777777" w:rsidR="00D4244C" w:rsidRPr="00702398" w:rsidRDefault="00D4244C" w:rsidP="00D4244C">
      <w:pPr>
        <w:spacing w:after="0" w:line="240" w:lineRule="auto"/>
        <w:jc w:val="both"/>
        <w:rPr>
          <w:rFonts w:ascii="Calibri" w:hAnsi="Calibri" w:cs="Calibri"/>
        </w:rPr>
      </w:pPr>
    </w:p>
    <w:p w14:paraId="4B7C87CB" w14:textId="77777777" w:rsidR="00D4244C" w:rsidRPr="00702398" w:rsidRDefault="00D4244C" w:rsidP="00D4244C">
      <w:pPr>
        <w:jc w:val="both"/>
        <w:rPr>
          <w:b/>
          <w:sz w:val="24"/>
          <w:szCs w:val="24"/>
        </w:rPr>
      </w:pPr>
      <w:r w:rsidRPr="00702398">
        <w:rPr>
          <w:b/>
          <w:sz w:val="24"/>
          <w:szCs w:val="24"/>
        </w:rPr>
        <w:t>Refunds</w:t>
      </w:r>
    </w:p>
    <w:p w14:paraId="0372432D"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The College aims to deliver a high quality further and higher education provision, in line with the requirements of students, employers, awarding bodies and, for HE programmes, the validating partner universities.</w:t>
      </w:r>
    </w:p>
    <w:p w14:paraId="5187D350" w14:textId="77777777" w:rsidR="00D4244C" w:rsidRPr="00702398" w:rsidRDefault="00D4244C" w:rsidP="00D4244C">
      <w:pPr>
        <w:spacing w:after="0" w:line="240" w:lineRule="auto"/>
        <w:jc w:val="both"/>
        <w:rPr>
          <w:rFonts w:ascii="Calibri" w:hAnsi="Calibri" w:cs="Calibri"/>
        </w:rPr>
      </w:pPr>
    </w:p>
    <w:p w14:paraId="62C28637"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The College will provide students with as much clarity as possible about the content of their further or higher education programme, location of their studies and timetable prior to the commencement of each academic year and will aim to minimise changes to programmes of study which result in disruption to students during the academic year.</w:t>
      </w:r>
    </w:p>
    <w:p w14:paraId="5BA3EA3C" w14:textId="77777777" w:rsidR="00D4244C" w:rsidRPr="00702398" w:rsidRDefault="00D4244C" w:rsidP="00D4244C">
      <w:pPr>
        <w:spacing w:after="0" w:line="240" w:lineRule="auto"/>
        <w:jc w:val="both"/>
        <w:rPr>
          <w:rFonts w:ascii="Calibri" w:hAnsi="Calibri" w:cs="Calibri"/>
        </w:rPr>
      </w:pPr>
    </w:p>
    <w:p w14:paraId="3A5DDC1C"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 xml:space="preserve">This policy applies to all college students, irrespective of the funding arrangements for their further or higher education programme, including: </w:t>
      </w:r>
    </w:p>
    <w:p w14:paraId="3DD1EF9F" w14:textId="77777777" w:rsidR="00D4244C" w:rsidRPr="00702398" w:rsidRDefault="00D4244C" w:rsidP="00D4244C">
      <w:pPr>
        <w:numPr>
          <w:ilvl w:val="0"/>
          <w:numId w:val="1"/>
        </w:numPr>
        <w:spacing w:after="0" w:line="240" w:lineRule="auto"/>
        <w:jc w:val="both"/>
        <w:rPr>
          <w:rFonts w:ascii="Calibri" w:hAnsi="Calibri" w:cs="Calibri"/>
        </w:rPr>
      </w:pPr>
      <w:r w:rsidRPr="00702398">
        <w:rPr>
          <w:rFonts w:ascii="Calibri" w:hAnsi="Calibri" w:cs="Calibri"/>
        </w:rPr>
        <w:t xml:space="preserve">Students who pay their own tuition </w:t>
      </w:r>
      <w:proofErr w:type="gramStart"/>
      <w:r w:rsidRPr="00702398">
        <w:rPr>
          <w:rFonts w:ascii="Calibri" w:hAnsi="Calibri" w:cs="Calibri"/>
        </w:rPr>
        <w:t>fees;</w:t>
      </w:r>
      <w:proofErr w:type="gramEnd"/>
    </w:p>
    <w:p w14:paraId="39E26B3F" w14:textId="77777777" w:rsidR="00D4244C" w:rsidRPr="00702398" w:rsidRDefault="00D4244C" w:rsidP="00D4244C">
      <w:pPr>
        <w:numPr>
          <w:ilvl w:val="0"/>
          <w:numId w:val="1"/>
        </w:numPr>
        <w:spacing w:after="0" w:line="240" w:lineRule="auto"/>
        <w:jc w:val="both"/>
        <w:rPr>
          <w:rFonts w:ascii="Calibri" w:hAnsi="Calibri" w:cs="Calibri"/>
        </w:rPr>
      </w:pPr>
      <w:r w:rsidRPr="00702398">
        <w:rPr>
          <w:rFonts w:ascii="Calibri" w:hAnsi="Calibri" w:cs="Calibri"/>
        </w:rPr>
        <w:t xml:space="preserve">Students whose fees are paid through a fee loan from the Student Loans Company. Please note that fees are not directly received by the College. Student loans are managed by the College’s partners, namely </w:t>
      </w:r>
      <w:r w:rsidRPr="00702398">
        <w:rPr>
          <w:rFonts w:ascii="Calibri" w:hAnsi="Calibri" w:cs="Calibri"/>
          <w:vertAlign w:val="superscript"/>
        </w:rPr>
        <w:footnoteReference w:id="1"/>
      </w:r>
      <w:r w:rsidRPr="00702398">
        <w:rPr>
          <w:rFonts w:ascii="Calibri" w:hAnsi="Calibri" w:cs="Calibri"/>
        </w:rPr>
        <w:t xml:space="preserve">Staffordshire University and two partner colleges, </w:t>
      </w:r>
      <w:r w:rsidRPr="00702398">
        <w:rPr>
          <w:rFonts w:ascii="Calibri" w:hAnsi="Calibri" w:cs="Calibri"/>
          <w:vertAlign w:val="superscript"/>
        </w:rPr>
        <w:footnoteReference w:id="2"/>
      </w:r>
      <w:r w:rsidRPr="00702398">
        <w:rPr>
          <w:rFonts w:ascii="Calibri" w:hAnsi="Calibri" w:cs="Calibri"/>
        </w:rPr>
        <w:t xml:space="preserve">North Hertfordshire College and </w:t>
      </w:r>
      <w:r w:rsidRPr="00702398">
        <w:rPr>
          <w:rFonts w:ascii="Calibri" w:hAnsi="Calibri" w:cs="Calibri"/>
          <w:vertAlign w:val="superscript"/>
        </w:rPr>
        <w:footnoteReference w:id="3"/>
      </w:r>
      <w:r w:rsidRPr="00702398">
        <w:rPr>
          <w:rFonts w:ascii="Calibri" w:hAnsi="Calibri" w:cs="Calibri"/>
        </w:rPr>
        <w:t xml:space="preserve">New Swindon College whose refund policy will apply, particularly with respect to compensation for maintenance </w:t>
      </w:r>
      <w:proofErr w:type="gramStart"/>
      <w:r w:rsidRPr="00702398">
        <w:rPr>
          <w:rFonts w:ascii="Calibri" w:hAnsi="Calibri" w:cs="Calibri"/>
        </w:rPr>
        <w:t>costs;</w:t>
      </w:r>
      <w:proofErr w:type="gramEnd"/>
    </w:p>
    <w:p w14:paraId="3E392A7A" w14:textId="77777777" w:rsidR="00D4244C" w:rsidRPr="00702398" w:rsidRDefault="00D4244C" w:rsidP="00D4244C">
      <w:pPr>
        <w:numPr>
          <w:ilvl w:val="0"/>
          <w:numId w:val="1"/>
        </w:numPr>
        <w:spacing w:after="0" w:line="240" w:lineRule="auto"/>
        <w:jc w:val="both"/>
        <w:rPr>
          <w:rFonts w:ascii="Calibri" w:hAnsi="Calibri" w:cs="Calibri"/>
        </w:rPr>
      </w:pPr>
      <w:r w:rsidRPr="00702398">
        <w:rPr>
          <w:rFonts w:ascii="Calibri" w:hAnsi="Calibri" w:cs="Calibri"/>
        </w:rPr>
        <w:t>Students whose tuition fees are paid by an employer or another sponsor.</w:t>
      </w:r>
    </w:p>
    <w:p w14:paraId="321F54F3" w14:textId="77777777" w:rsidR="00D4244C" w:rsidRPr="00702398" w:rsidRDefault="00D4244C" w:rsidP="00D4244C">
      <w:pPr>
        <w:spacing w:after="0" w:line="240" w:lineRule="auto"/>
        <w:jc w:val="both"/>
        <w:rPr>
          <w:rFonts w:ascii="Calibri" w:hAnsi="Calibri" w:cs="Calibri"/>
        </w:rPr>
      </w:pPr>
    </w:p>
    <w:p w14:paraId="770AC4D1"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lastRenderedPageBreak/>
        <w:t xml:space="preserve">Refunds will be made where it is necessary to close a class due to insufficient numbers or where the attendance of students is made impossible or inappropriate by some action of the College. Should this action prove necessary, the refund will be processed as part of standard procedures; there should be no need for students to contact the College. </w:t>
      </w:r>
    </w:p>
    <w:p w14:paraId="732D7E42" w14:textId="77777777" w:rsidR="00D4244C" w:rsidRPr="00702398" w:rsidRDefault="00D4244C" w:rsidP="00D4244C">
      <w:pPr>
        <w:spacing w:after="0" w:line="240" w:lineRule="auto"/>
        <w:jc w:val="both"/>
        <w:rPr>
          <w:rFonts w:ascii="Calibri" w:hAnsi="Calibri" w:cs="Calibri"/>
        </w:rPr>
      </w:pPr>
    </w:p>
    <w:p w14:paraId="33519F64"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 xml:space="preserve">In the event of a course closure, refunds will </w:t>
      </w:r>
      <w:r w:rsidRPr="00702398">
        <w:rPr>
          <w:rFonts w:ascii="Calibri" w:hAnsi="Calibri" w:cs="Calibri"/>
          <w:b/>
        </w:rPr>
        <w:t>not</w:t>
      </w:r>
      <w:r w:rsidRPr="00702398">
        <w:rPr>
          <w:rFonts w:ascii="Calibri" w:hAnsi="Calibri" w:cs="Calibri"/>
        </w:rPr>
        <w:t xml:space="preserve"> be paid to those students who have:</w:t>
      </w:r>
    </w:p>
    <w:p w14:paraId="5D5C8B14" w14:textId="77777777" w:rsidR="00D4244C" w:rsidRPr="00702398" w:rsidRDefault="00D4244C" w:rsidP="00D4244C">
      <w:pPr>
        <w:numPr>
          <w:ilvl w:val="0"/>
          <w:numId w:val="2"/>
        </w:numPr>
        <w:spacing w:after="0" w:line="240" w:lineRule="auto"/>
        <w:jc w:val="both"/>
        <w:rPr>
          <w:rFonts w:ascii="Calibri" w:hAnsi="Calibri" w:cs="Calibri"/>
        </w:rPr>
      </w:pPr>
      <w:r w:rsidRPr="00702398">
        <w:rPr>
          <w:rFonts w:ascii="Calibri" w:hAnsi="Calibri" w:cs="Calibri"/>
        </w:rPr>
        <w:t xml:space="preserve">Voluntarily left the </w:t>
      </w:r>
      <w:proofErr w:type="gramStart"/>
      <w:r w:rsidRPr="00702398">
        <w:rPr>
          <w:rFonts w:ascii="Calibri" w:hAnsi="Calibri" w:cs="Calibri"/>
        </w:rPr>
        <w:t>course;</w:t>
      </w:r>
      <w:proofErr w:type="gramEnd"/>
      <w:r w:rsidRPr="00702398">
        <w:rPr>
          <w:rFonts w:ascii="Calibri" w:hAnsi="Calibri" w:cs="Calibri"/>
        </w:rPr>
        <w:t xml:space="preserve"> </w:t>
      </w:r>
    </w:p>
    <w:p w14:paraId="4250709B" w14:textId="2342A4D5" w:rsidR="00D4244C" w:rsidRPr="00702398" w:rsidRDefault="00D4244C" w:rsidP="00D4244C">
      <w:pPr>
        <w:numPr>
          <w:ilvl w:val="0"/>
          <w:numId w:val="2"/>
        </w:numPr>
        <w:spacing w:after="0" w:line="240" w:lineRule="auto"/>
        <w:jc w:val="both"/>
        <w:rPr>
          <w:rFonts w:ascii="Calibri" w:hAnsi="Calibri" w:cs="Calibri"/>
        </w:rPr>
      </w:pPr>
      <w:r w:rsidRPr="00702398">
        <w:rPr>
          <w:rFonts w:ascii="Calibri" w:hAnsi="Calibri" w:cs="Calibri"/>
        </w:rPr>
        <w:t xml:space="preserve">Not attended for a period of four weeks prior to </w:t>
      </w:r>
      <w:r>
        <w:rPr>
          <w:rFonts w:ascii="Calibri" w:hAnsi="Calibri" w:cs="Calibri"/>
        </w:rPr>
        <w:t>leaving or being withdrawn from their programme</w:t>
      </w:r>
      <w:r w:rsidRPr="00702398">
        <w:rPr>
          <w:rFonts w:ascii="Calibri" w:hAnsi="Calibri" w:cs="Calibri"/>
        </w:rPr>
        <w:t xml:space="preserve"> without previously agreeing a period of planned absence with their course tutor.</w:t>
      </w:r>
    </w:p>
    <w:p w14:paraId="22FCCB31" w14:textId="77777777" w:rsidR="00D4244C" w:rsidRPr="00702398" w:rsidRDefault="00D4244C" w:rsidP="00D4244C">
      <w:pPr>
        <w:spacing w:after="0" w:line="240" w:lineRule="auto"/>
        <w:jc w:val="both"/>
        <w:rPr>
          <w:rFonts w:ascii="Calibri" w:hAnsi="Calibri" w:cs="Calibri"/>
        </w:rPr>
      </w:pPr>
    </w:p>
    <w:p w14:paraId="570BEB52"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The College will honour requests for a refund made in writing within 14 days of enrolment, where a student or their sponsor changes their mind and they withdraw from their programme of study, with the exclusion of short courses of less than one month. These requests should be made to the administration department.</w:t>
      </w:r>
    </w:p>
    <w:p w14:paraId="7F4F7E6E" w14:textId="77777777" w:rsidR="00D4244C" w:rsidRPr="00702398" w:rsidRDefault="00D4244C" w:rsidP="00D4244C">
      <w:pPr>
        <w:spacing w:after="0" w:line="240" w:lineRule="auto"/>
        <w:jc w:val="both"/>
        <w:rPr>
          <w:rFonts w:ascii="Calibri" w:hAnsi="Calibri" w:cs="Calibri"/>
        </w:rPr>
      </w:pPr>
    </w:p>
    <w:p w14:paraId="27B23367"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 xml:space="preserve">Fees will not be refunded where course closure is temporary or due to circumstances beyond our control, including but not exclusive to fire, flood or other force majeure, adverse weather conditions, failure of public utilities or transport systems/networks, restrictions imposed by the government, terrorist attack or threat of, epidemic or pandemic disease, temporary staff absences or changes including those due to industrial action. </w:t>
      </w:r>
    </w:p>
    <w:p w14:paraId="7A6AD08E" w14:textId="77777777" w:rsidR="00D4244C" w:rsidRPr="00702398" w:rsidRDefault="00D4244C" w:rsidP="00D4244C">
      <w:pPr>
        <w:spacing w:after="0" w:line="240" w:lineRule="auto"/>
        <w:jc w:val="both"/>
        <w:rPr>
          <w:rFonts w:ascii="Calibri" w:hAnsi="Calibri" w:cs="Calibri"/>
        </w:rPr>
      </w:pPr>
    </w:p>
    <w:p w14:paraId="6ECFC521" w14:textId="47BC5414" w:rsidR="00D4244C" w:rsidRPr="00702398" w:rsidRDefault="00D4244C" w:rsidP="00D4244C">
      <w:pPr>
        <w:spacing w:after="0" w:line="240" w:lineRule="auto"/>
        <w:jc w:val="both"/>
        <w:rPr>
          <w:rFonts w:ascii="Calibri" w:hAnsi="Calibri" w:cs="Calibri"/>
        </w:rPr>
      </w:pPr>
      <w:r w:rsidRPr="00702398">
        <w:rPr>
          <w:rFonts w:ascii="Calibri" w:hAnsi="Calibri" w:cs="Calibri"/>
        </w:rPr>
        <w:t>For a refund request in response to an issue or problem with your course</w:t>
      </w:r>
      <w:r>
        <w:rPr>
          <w:rFonts w:ascii="Calibri" w:hAnsi="Calibri" w:cs="Calibri"/>
        </w:rPr>
        <w:t>,</w:t>
      </w:r>
      <w:r w:rsidRPr="00702398">
        <w:rPr>
          <w:rFonts w:ascii="Calibri" w:hAnsi="Calibri" w:cs="Calibri"/>
        </w:rPr>
        <w:t xml:space="preserve"> the Complaints Policy and Procedures document should be followed</w:t>
      </w:r>
      <w:r>
        <w:rPr>
          <w:rFonts w:ascii="Calibri" w:hAnsi="Calibri" w:cs="Calibri"/>
        </w:rPr>
        <w:t xml:space="preserve"> (available on the College website and virtual learning platform)</w:t>
      </w:r>
      <w:r w:rsidRPr="00702398">
        <w:rPr>
          <w:rFonts w:ascii="Calibri" w:hAnsi="Calibri" w:cs="Calibri"/>
        </w:rPr>
        <w:t xml:space="preserve">. Initial contact should be made in writing to the </w:t>
      </w:r>
      <w:proofErr w:type="gramStart"/>
      <w:r w:rsidRPr="00702398">
        <w:rPr>
          <w:rFonts w:ascii="Calibri" w:hAnsi="Calibri" w:cs="Calibri"/>
        </w:rPr>
        <w:t>Principal</w:t>
      </w:r>
      <w:proofErr w:type="gramEnd"/>
      <w:r w:rsidRPr="00702398">
        <w:rPr>
          <w:rFonts w:ascii="Calibri" w:hAnsi="Calibri" w:cs="Calibri"/>
        </w:rPr>
        <w:t xml:space="preserve">. In each case, the student should explain in detail the issue/problem experienced and why the student believes that they are entitled to a refund. If the claim is not substantiated the student can appeal </w:t>
      </w:r>
      <w:proofErr w:type="gramStart"/>
      <w:r w:rsidRPr="00702398">
        <w:rPr>
          <w:rFonts w:ascii="Calibri" w:hAnsi="Calibri" w:cs="Calibri"/>
        </w:rPr>
        <w:t>referring back</w:t>
      </w:r>
      <w:proofErr w:type="gramEnd"/>
      <w:r w:rsidRPr="00702398">
        <w:rPr>
          <w:rFonts w:ascii="Calibri" w:hAnsi="Calibri" w:cs="Calibri"/>
        </w:rPr>
        <w:t xml:space="preserve"> to the Complaints policy and procedures.</w:t>
      </w:r>
    </w:p>
    <w:p w14:paraId="33CA7268" w14:textId="77777777" w:rsidR="00D4244C" w:rsidRPr="00702398" w:rsidRDefault="00D4244C" w:rsidP="00D4244C">
      <w:pPr>
        <w:spacing w:after="0" w:line="240" w:lineRule="auto"/>
        <w:jc w:val="both"/>
        <w:rPr>
          <w:rFonts w:ascii="Calibri" w:hAnsi="Calibri" w:cs="Calibri"/>
        </w:rPr>
      </w:pPr>
    </w:p>
    <w:p w14:paraId="7893DD83"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 xml:space="preserve">Financial compensation/refund will not always be the appropriate response to a </w:t>
      </w:r>
      <w:proofErr w:type="gramStart"/>
      <w:r w:rsidRPr="00702398">
        <w:rPr>
          <w:rFonts w:ascii="Calibri" w:hAnsi="Calibri" w:cs="Calibri"/>
        </w:rPr>
        <w:t>complaint</w:t>
      </w:r>
      <w:proofErr w:type="gramEnd"/>
      <w:r w:rsidRPr="00702398">
        <w:rPr>
          <w:rFonts w:ascii="Calibri" w:hAnsi="Calibri" w:cs="Calibri"/>
        </w:rPr>
        <w:t xml:space="preserve"> and it is unlikely that most issues will be resolved in this way. Alternatives to financial compensation might include an apology or goodwill gesture, an offer of alternative learning methods if the course cannot be delivered in the way it was originally intended or repeat delivery of the relevant course element may be offered where possible.</w:t>
      </w:r>
    </w:p>
    <w:p w14:paraId="5BA5F3B5" w14:textId="77777777" w:rsidR="00D4244C" w:rsidRPr="00702398" w:rsidRDefault="00D4244C" w:rsidP="00D4244C">
      <w:pPr>
        <w:spacing w:after="0" w:line="240" w:lineRule="auto"/>
        <w:jc w:val="both"/>
        <w:rPr>
          <w:rFonts w:ascii="Calibri" w:hAnsi="Calibri" w:cs="Calibri"/>
        </w:rPr>
      </w:pPr>
    </w:p>
    <w:p w14:paraId="0883502F"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 xml:space="preserve">Refund requests of a personal nature should be addressed to the </w:t>
      </w:r>
      <w:proofErr w:type="gramStart"/>
      <w:r w:rsidRPr="00702398">
        <w:rPr>
          <w:rFonts w:ascii="Calibri" w:hAnsi="Calibri" w:cs="Calibri"/>
        </w:rPr>
        <w:t>Principal</w:t>
      </w:r>
      <w:proofErr w:type="gramEnd"/>
      <w:r w:rsidRPr="00702398">
        <w:rPr>
          <w:rFonts w:ascii="Calibri" w:hAnsi="Calibri" w:cs="Calibri"/>
        </w:rPr>
        <w:t xml:space="preserve"> giving full explanation as to why the student believes a refund should be considered. Whilst it is unlikely that the College will be able to accommodate these after the </w:t>
      </w:r>
      <w:proofErr w:type="gramStart"/>
      <w:r w:rsidRPr="00702398">
        <w:rPr>
          <w:rFonts w:ascii="Calibri" w:hAnsi="Calibri" w:cs="Calibri"/>
        </w:rPr>
        <w:t>14 day</w:t>
      </w:r>
      <w:proofErr w:type="gramEnd"/>
      <w:r w:rsidRPr="00702398">
        <w:rPr>
          <w:rFonts w:ascii="Calibri" w:hAnsi="Calibri" w:cs="Calibri"/>
        </w:rPr>
        <w:t xml:space="preserve"> enrolment period, a credit note may be issued in exceptional circumstances as a goodwill gesture. The credit note will be restricted to the named student/ employer, has a time limit of twelve months for redemption and does not have a cash equivalent. </w:t>
      </w:r>
    </w:p>
    <w:p w14:paraId="30A7BDFE" w14:textId="77777777" w:rsidR="00D4244C" w:rsidRPr="00702398" w:rsidRDefault="00D4244C" w:rsidP="00D4244C">
      <w:pPr>
        <w:spacing w:after="0" w:line="240" w:lineRule="auto"/>
        <w:jc w:val="both"/>
        <w:rPr>
          <w:rFonts w:ascii="Calibri" w:hAnsi="Calibri" w:cs="Calibri"/>
        </w:rPr>
      </w:pPr>
    </w:p>
    <w:p w14:paraId="2E30857A"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Where a refund or credit note is agreed, an administration fee may be charged. This does not apply to course closures.</w:t>
      </w:r>
    </w:p>
    <w:p w14:paraId="167D68BF" w14:textId="77777777" w:rsidR="00D4244C" w:rsidRPr="00702398" w:rsidRDefault="00D4244C" w:rsidP="00D4244C">
      <w:pPr>
        <w:spacing w:after="0" w:line="240" w:lineRule="auto"/>
        <w:jc w:val="both"/>
        <w:rPr>
          <w:rFonts w:ascii="Calibri" w:hAnsi="Calibri" w:cs="Calibri"/>
        </w:rPr>
      </w:pPr>
    </w:p>
    <w:p w14:paraId="64282F8A" w14:textId="77777777" w:rsidR="00D4244C" w:rsidRPr="00702398" w:rsidRDefault="00D4244C" w:rsidP="00D4244C">
      <w:pPr>
        <w:spacing w:after="0" w:line="240" w:lineRule="auto"/>
        <w:jc w:val="both"/>
        <w:rPr>
          <w:rFonts w:ascii="Calibri" w:hAnsi="Calibri" w:cs="Calibri"/>
          <w:b/>
          <w:sz w:val="24"/>
          <w:szCs w:val="24"/>
        </w:rPr>
      </w:pPr>
      <w:r w:rsidRPr="00702398">
        <w:rPr>
          <w:rFonts w:ascii="Calibri" w:hAnsi="Calibri" w:cs="Calibri"/>
          <w:b/>
          <w:sz w:val="24"/>
          <w:szCs w:val="24"/>
        </w:rPr>
        <w:t>Refund Process</w:t>
      </w:r>
    </w:p>
    <w:p w14:paraId="74B4BE43" w14:textId="77777777" w:rsidR="00D4244C" w:rsidRPr="00702398" w:rsidRDefault="00D4244C" w:rsidP="00D4244C">
      <w:pPr>
        <w:spacing w:after="0" w:line="240" w:lineRule="auto"/>
        <w:jc w:val="both"/>
        <w:rPr>
          <w:rFonts w:ascii="Calibri" w:hAnsi="Calibri" w:cs="Calibri"/>
        </w:rPr>
      </w:pPr>
    </w:p>
    <w:p w14:paraId="54F3F737"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 xml:space="preserve">If a refund is agreed through either course closure, within the </w:t>
      </w:r>
      <w:proofErr w:type="gramStart"/>
      <w:r w:rsidRPr="00702398">
        <w:rPr>
          <w:rFonts w:ascii="Calibri" w:hAnsi="Calibri" w:cs="Calibri"/>
        </w:rPr>
        <w:t>14 day</w:t>
      </w:r>
      <w:proofErr w:type="gramEnd"/>
      <w:r w:rsidRPr="00702398">
        <w:rPr>
          <w:rFonts w:ascii="Calibri" w:hAnsi="Calibri" w:cs="Calibri"/>
        </w:rPr>
        <w:t xml:space="preserve"> enrolment period, or as a result of an investigation through the Complaints Policy and Procedures, the following refund process will apply:</w:t>
      </w:r>
    </w:p>
    <w:p w14:paraId="2E5FE1F5" w14:textId="77777777" w:rsidR="00D4244C" w:rsidRPr="00702398" w:rsidRDefault="00D4244C" w:rsidP="00D4244C">
      <w:pPr>
        <w:numPr>
          <w:ilvl w:val="0"/>
          <w:numId w:val="3"/>
        </w:numPr>
        <w:spacing w:after="0" w:line="240" w:lineRule="auto"/>
        <w:jc w:val="both"/>
        <w:rPr>
          <w:rFonts w:ascii="Calibri" w:hAnsi="Calibri" w:cs="Calibri"/>
        </w:rPr>
      </w:pPr>
      <w:r w:rsidRPr="00702398">
        <w:rPr>
          <w:rFonts w:ascii="Calibri" w:hAnsi="Calibri" w:cs="Calibri"/>
        </w:rPr>
        <w:t xml:space="preserve">Where the original payment method was by cheque, refunds will be by cheque. </w:t>
      </w:r>
    </w:p>
    <w:p w14:paraId="2F6C39D7" w14:textId="77777777" w:rsidR="00D4244C" w:rsidRPr="00702398" w:rsidRDefault="00D4244C" w:rsidP="00D4244C">
      <w:pPr>
        <w:numPr>
          <w:ilvl w:val="0"/>
          <w:numId w:val="3"/>
        </w:numPr>
        <w:spacing w:after="0" w:line="240" w:lineRule="auto"/>
        <w:jc w:val="both"/>
        <w:rPr>
          <w:rFonts w:ascii="Calibri" w:hAnsi="Calibri" w:cs="Calibri"/>
        </w:rPr>
      </w:pPr>
      <w:r w:rsidRPr="00702398">
        <w:rPr>
          <w:rFonts w:ascii="Calibri" w:hAnsi="Calibri" w:cs="Calibri"/>
        </w:rPr>
        <w:lastRenderedPageBreak/>
        <w:t xml:space="preserve">Where the original method was by cash, refunds will be made by cheque (the College does not hold large cash sums and adheres to the money laundering regulations covering the handling of cash. </w:t>
      </w:r>
    </w:p>
    <w:p w14:paraId="65F3ABAB" w14:textId="77777777" w:rsidR="00D4244C" w:rsidRPr="00702398" w:rsidRDefault="00D4244C" w:rsidP="00D4244C">
      <w:pPr>
        <w:numPr>
          <w:ilvl w:val="0"/>
          <w:numId w:val="3"/>
        </w:numPr>
        <w:spacing w:after="0" w:line="240" w:lineRule="auto"/>
        <w:jc w:val="both"/>
        <w:rPr>
          <w:rFonts w:ascii="Calibri" w:hAnsi="Calibri" w:cs="Calibri"/>
        </w:rPr>
      </w:pPr>
      <w:r w:rsidRPr="00702398">
        <w:rPr>
          <w:rFonts w:ascii="Calibri" w:hAnsi="Calibri" w:cs="Calibri"/>
        </w:rPr>
        <w:t xml:space="preserve">Where the original payment was by credit/debit card, a refund will be made back to the same credit/debit card, unless the card has expired and we are unable to contact the payer for a new expiry date, in which case the refund will be by cheque. </w:t>
      </w:r>
    </w:p>
    <w:p w14:paraId="500DB2A9" w14:textId="77777777" w:rsidR="00D4244C" w:rsidRPr="00702398" w:rsidRDefault="00D4244C" w:rsidP="00D4244C">
      <w:pPr>
        <w:numPr>
          <w:ilvl w:val="0"/>
          <w:numId w:val="3"/>
        </w:numPr>
        <w:spacing w:after="0" w:line="240" w:lineRule="auto"/>
        <w:jc w:val="both"/>
        <w:rPr>
          <w:rFonts w:ascii="Calibri" w:hAnsi="Calibri" w:cs="Calibri"/>
        </w:rPr>
      </w:pPr>
      <w:r w:rsidRPr="00702398">
        <w:rPr>
          <w:rFonts w:ascii="Calibri" w:hAnsi="Calibri" w:cs="Calibri"/>
        </w:rPr>
        <w:t>Where the original payment was made directly into the bank, a refund will be returned to the account from which the original payment was received.</w:t>
      </w:r>
    </w:p>
    <w:p w14:paraId="388BDAAE" w14:textId="77777777" w:rsidR="00D4244C" w:rsidRPr="00702398" w:rsidRDefault="00D4244C" w:rsidP="00D4244C">
      <w:pPr>
        <w:spacing w:after="0" w:line="240" w:lineRule="auto"/>
        <w:ind w:left="720"/>
        <w:jc w:val="both"/>
        <w:rPr>
          <w:rFonts w:ascii="Calibri" w:hAnsi="Calibri" w:cs="Calibri"/>
        </w:rPr>
      </w:pPr>
    </w:p>
    <w:p w14:paraId="68512485" w14:textId="77777777" w:rsidR="00D4244C" w:rsidRPr="00702398" w:rsidRDefault="00D4244C" w:rsidP="00D4244C">
      <w:pPr>
        <w:spacing w:after="0" w:line="240" w:lineRule="auto"/>
        <w:jc w:val="both"/>
        <w:rPr>
          <w:rFonts w:ascii="Calibri" w:hAnsi="Calibri" w:cs="Calibri"/>
          <w:b/>
          <w:sz w:val="24"/>
          <w:szCs w:val="24"/>
        </w:rPr>
      </w:pPr>
      <w:r w:rsidRPr="00702398">
        <w:rPr>
          <w:rFonts w:ascii="Calibri" w:hAnsi="Calibri" w:cs="Calibri"/>
          <w:b/>
          <w:sz w:val="24"/>
          <w:szCs w:val="24"/>
        </w:rPr>
        <w:t>Transfers</w:t>
      </w:r>
    </w:p>
    <w:p w14:paraId="0BF2DDF5" w14:textId="77777777" w:rsidR="00D4244C" w:rsidRPr="00702398" w:rsidRDefault="00D4244C" w:rsidP="00D4244C">
      <w:pPr>
        <w:spacing w:after="0" w:line="240" w:lineRule="auto"/>
        <w:jc w:val="both"/>
        <w:rPr>
          <w:rFonts w:ascii="Calibri" w:hAnsi="Calibri" w:cs="Calibri"/>
        </w:rPr>
      </w:pPr>
    </w:p>
    <w:p w14:paraId="7F39B919"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The following rules apply to transfers where a student:</w:t>
      </w:r>
    </w:p>
    <w:p w14:paraId="647EDDA7" w14:textId="3846A9B2" w:rsidR="00D4244C" w:rsidRPr="00702398" w:rsidRDefault="00D4244C" w:rsidP="00D4244C">
      <w:pPr>
        <w:numPr>
          <w:ilvl w:val="0"/>
          <w:numId w:val="4"/>
        </w:numPr>
        <w:spacing w:after="0" w:line="240" w:lineRule="auto"/>
        <w:jc w:val="both"/>
        <w:rPr>
          <w:rFonts w:ascii="Calibri" w:hAnsi="Calibri" w:cs="Calibri"/>
        </w:rPr>
      </w:pPr>
      <w:r w:rsidRPr="00702398">
        <w:rPr>
          <w:rFonts w:ascii="Calibri" w:hAnsi="Calibri" w:cs="Calibri"/>
        </w:rPr>
        <w:t>Transfers from a course the</w:t>
      </w:r>
      <w:r>
        <w:rPr>
          <w:rFonts w:ascii="Calibri" w:hAnsi="Calibri" w:cs="Calibri"/>
        </w:rPr>
        <w:t xml:space="preserve"> C</w:t>
      </w:r>
      <w:r w:rsidRPr="00702398">
        <w:rPr>
          <w:rFonts w:ascii="Calibri" w:hAnsi="Calibri" w:cs="Calibri"/>
        </w:rPr>
        <w:t xml:space="preserve">ollege has closed to an alternative course, the difference will be paid by the </w:t>
      </w:r>
      <w:r>
        <w:rPr>
          <w:rFonts w:ascii="Calibri" w:hAnsi="Calibri" w:cs="Calibri"/>
        </w:rPr>
        <w:t>C</w:t>
      </w:r>
      <w:r w:rsidRPr="00702398">
        <w:rPr>
          <w:rFonts w:ascii="Calibri" w:hAnsi="Calibri" w:cs="Calibri"/>
        </w:rPr>
        <w:t>ollege.</w:t>
      </w:r>
    </w:p>
    <w:p w14:paraId="720A4D52" w14:textId="77777777" w:rsidR="00D4244C" w:rsidRPr="00702398" w:rsidRDefault="00D4244C" w:rsidP="00D4244C">
      <w:pPr>
        <w:numPr>
          <w:ilvl w:val="0"/>
          <w:numId w:val="4"/>
        </w:numPr>
        <w:spacing w:after="0" w:line="240" w:lineRule="auto"/>
        <w:jc w:val="both"/>
        <w:rPr>
          <w:rFonts w:ascii="Calibri" w:hAnsi="Calibri" w:cs="Calibri"/>
        </w:rPr>
      </w:pPr>
      <w:r w:rsidRPr="00702398">
        <w:rPr>
          <w:rFonts w:ascii="Calibri" w:hAnsi="Calibri" w:cs="Calibri"/>
        </w:rPr>
        <w:t xml:space="preserve">Transfers to a course with a similar tuition fee, no charge will be made. </w:t>
      </w:r>
    </w:p>
    <w:p w14:paraId="10453415" w14:textId="77777777" w:rsidR="00D4244C" w:rsidRPr="00702398" w:rsidRDefault="00D4244C" w:rsidP="00D4244C">
      <w:pPr>
        <w:numPr>
          <w:ilvl w:val="0"/>
          <w:numId w:val="4"/>
        </w:numPr>
        <w:spacing w:after="0" w:line="240" w:lineRule="auto"/>
        <w:jc w:val="both"/>
        <w:rPr>
          <w:rFonts w:ascii="Calibri" w:hAnsi="Calibri" w:cs="Calibri"/>
        </w:rPr>
      </w:pPr>
      <w:r w:rsidRPr="00702398">
        <w:rPr>
          <w:rFonts w:ascii="Calibri" w:hAnsi="Calibri" w:cs="Calibri"/>
        </w:rPr>
        <w:t>Decides to transfer to a course with a higher tuition fee the student will pay the difference between the course tuition fees.</w:t>
      </w:r>
    </w:p>
    <w:p w14:paraId="49EBD5AE" w14:textId="77777777" w:rsidR="00D4244C" w:rsidRPr="00702398" w:rsidRDefault="00D4244C" w:rsidP="00D4244C">
      <w:pPr>
        <w:spacing w:after="0" w:line="240" w:lineRule="auto"/>
        <w:ind w:left="720"/>
        <w:jc w:val="both"/>
        <w:rPr>
          <w:rFonts w:ascii="Calibri" w:hAnsi="Calibri" w:cs="Calibri"/>
        </w:rPr>
      </w:pPr>
    </w:p>
    <w:p w14:paraId="77715C0F" w14:textId="77777777" w:rsidR="00D4244C" w:rsidRPr="00702398" w:rsidRDefault="00D4244C" w:rsidP="00D4244C">
      <w:pPr>
        <w:spacing w:after="0" w:line="240" w:lineRule="auto"/>
        <w:jc w:val="both"/>
        <w:rPr>
          <w:rFonts w:ascii="Calibri" w:hAnsi="Calibri" w:cs="Calibri"/>
          <w:b/>
          <w:sz w:val="24"/>
          <w:szCs w:val="24"/>
        </w:rPr>
      </w:pPr>
      <w:r w:rsidRPr="00702398">
        <w:rPr>
          <w:rFonts w:ascii="Calibri" w:hAnsi="Calibri" w:cs="Calibri"/>
          <w:b/>
          <w:sz w:val="24"/>
          <w:szCs w:val="24"/>
        </w:rPr>
        <w:t>Compensation</w:t>
      </w:r>
    </w:p>
    <w:p w14:paraId="52E5A236" w14:textId="77777777" w:rsidR="00D4244C" w:rsidRPr="00702398" w:rsidRDefault="00D4244C" w:rsidP="00D4244C">
      <w:pPr>
        <w:spacing w:after="0" w:line="240" w:lineRule="auto"/>
        <w:jc w:val="both"/>
        <w:rPr>
          <w:rFonts w:ascii="Calibri" w:hAnsi="Calibri" w:cs="Calibri"/>
        </w:rPr>
      </w:pPr>
    </w:p>
    <w:p w14:paraId="4E8CC7B6" w14:textId="77777777" w:rsidR="00D4244C" w:rsidRPr="00702398" w:rsidRDefault="00D4244C" w:rsidP="00D4244C">
      <w:pPr>
        <w:spacing w:after="0" w:line="240" w:lineRule="auto"/>
        <w:jc w:val="both"/>
        <w:rPr>
          <w:rFonts w:ascii="Calibri" w:hAnsi="Calibri" w:cs="Calibri"/>
        </w:rPr>
      </w:pPr>
      <w:proofErr w:type="gramStart"/>
      <w:r w:rsidRPr="00702398">
        <w:rPr>
          <w:rFonts w:ascii="Calibri" w:hAnsi="Calibri" w:cs="Calibri"/>
        </w:rPr>
        <w:t>In the event that</w:t>
      </w:r>
      <w:proofErr w:type="gramEnd"/>
      <w:r w:rsidRPr="00702398">
        <w:rPr>
          <w:rFonts w:ascii="Calibri" w:hAnsi="Calibri" w:cs="Calibri"/>
        </w:rPr>
        <w:t xml:space="preserve"> it is not possible to preserve continuation of study necessitating a transfer to an alternative course, the arrangements outlined in transfers will apply. Where it is necessary </w:t>
      </w:r>
      <w:proofErr w:type="gramStart"/>
      <w:r w:rsidRPr="00702398">
        <w:rPr>
          <w:rFonts w:ascii="Calibri" w:hAnsi="Calibri" w:cs="Calibri"/>
        </w:rPr>
        <w:t>as a result of</w:t>
      </w:r>
      <w:proofErr w:type="gramEnd"/>
      <w:r w:rsidRPr="00702398">
        <w:rPr>
          <w:rFonts w:ascii="Calibri" w:hAnsi="Calibri" w:cs="Calibri"/>
        </w:rPr>
        <w:t xml:space="preserve"> action by the College (such as course closure) for students to transfer to an alternative provider or there is a change in the location of the course (which was not notified to the student prior to the commencement of the academic year) the College will consider appropriate compensation for additional travel or other costs directly attributable to the non-preservation of continuation of study. </w:t>
      </w:r>
    </w:p>
    <w:p w14:paraId="09D65FA5" w14:textId="77777777" w:rsidR="00D4244C" w:rsidRPr="00702398" w:rsidRDefault="00D4244C" w:rsidP="00D4244C">
      <w:pPr>
        <w:spacing w:after="0" w:line="240" w:lineRule="auto"/>
        <w:jc w:val="both"/>
        <w:rPr>
          <w:rFonts w:ascii="Calibri" w:hAnsi="Calibri" w:cs="Calibri"/>
        </w:rPr>
      </w:pPr>
    </w:p>
    <w:p w14:paraId="001FFE35" w14:textId="62595929" w:rsidR="00D4244C" w:rsidRPr="00702398" w:rsidRDefault="00D4244C" w:rsidP="00D4244C">
      <w:pPr>
        <w:spacing w:after="0" w:line="240" w:lineRule="auto"/>
        <w:jc w:val="both"/>
        <w:rPr>
          <w:rFonts w:ascii="Calibri" w:hAnsi="Calibri" w:cs="Calibri"/>
        </w:rPr>
      </w:pPr>
      <w:r w:rsidRPr="00702398">
        <w:rPr>
          <w:rFonts w:ascii="Calibri" w:hAnsi="Calibri" w:cs="Calibri"/>
        </w:rPr>
        <w:t xml:space="preserve">The College’s priority will always be to ensure that students receive the education experience outlined in </w:t>
      </w:r>
      <w:r>
        <w:rPr>
          <w:rFonts w:ascii="Calibri" w:hAnsi="Calibri" w:cs="Calibri"/>
        </w:rPr>
        <w:t xml:space="preserve">published </w:t>
      </w:r>
      <w:r w:rsidRPr="00702398">
        <w:rPr>
          <w:rFonts w:ascii="Calibri" w:hAnsi="Calibri" w:cs="Calibri"/>
        </w:rPr>
        <w:t>course information (whether on-line or in hard copy format) and their learning agreement. Where</w:t>
      </w:r>
      <w:r>
        <w:rPr>
          <w:rFonts w:ascii="Calibri" w:hAnsi="Calibri" w:cs="Calibri"/>
        </w:rPr>
        <w:t>,</w:t>
      </w:r>
      <w:r w:rsidRPr="00702398">
        <w:rPr>
          <w:rFonts w:ascii="Calibri" w:hAnsi="Calibri" w:cs="Calibri"/>
        </w:rPr>
        <w:t xml:space="preserve"> </w:t>
      </w:r>
      <w:proofErr w:type="gramStart"/>
      <w:r w:rsidRPr="00702398">
        <w:rPr>
          <w:rFonts w:ascii="Calibri" w:hAnsi="Calibri" w:cs="Calibri"/>
        </w:rPr>
        <w:t>as a result of</w:t>
      </w:r>
      <w:proofErr w:type="gramEnd"/>
      <w:r w:rsidRPr="00702398">
        <w:rPr>
          <w:rFonts w:ascii="Calibri" w:hAnsi="Calibri" w:cs="Calibri"/>
        </w:rPr>
        <w:t xml:space="preserve"> an investigation through the Complaints Policy and Procedures</w:t>
      </w:r>
      <w:r>
        <w:rPr>
          <w:rFonts w:ascii="Calibri" w:hAnsi="Calibri" w:cs="Calibri"/>
        </w:rPr>
        <w:t>,</w:t>
      </w:r>
      <w:r w:rsidRPr="00702398">
        <w:rPr>
          <w:rFonts w:ascii="Calibri" w:hAnsi="Calibri" w:cs="Calibri"/>
        </w:rPr>
        <w:t xml:space="preserve"> it is concluded that this has not been the case</w:t>
      </w:r>
      <w:r>
        <w:rPr>
          <w:rFonts w:ascii="Calibri" w:hAnsi="Calibri" w:cs="Calibri"/>
        </w:rPr>
        <w:t>,</w:t>
      </w:r>
      <w:r w:rsidRPr="00702398">
        <w:rPr>
          <w:rFonts w:ascii="Calibri" w:hAnsi="Calibri" w:cs="Calibri"/>
        </w:rPr>
        <w:t xml:space="preserve"> appropriate financial or other compensation may be offered. </w:t>
      </w:r>
    </w:p>
    <w:p w14:paraId="6667F2BF" w14:textId="77777777" w:rsidR="00D4244C" w:rsidRPr="00702398" w:rsidRDefault="00D4244C" w:rsidP="00D4244C">
      <w:pPr>
        <w:spacing w:after="0" w:line="240" w:lineRule="auto"/>
        <w:jc w:val="both"/>
        <w:rPr>
          <w:rFonts w:ascii="Calibri" w:hAnsi="Calibri" w:cs="Calibri"/>
        </w:rPr>
      </w:pPr>
    </w:p>
    <w:p w14:paraId="3CD86BC5" w14:textId="77777777" w:rsidR="00D4244C" w:rsidRPr="00702398" w:rsidRDefault="00D4244C" w:rsidP="00D4244C">
      <w:pPr>
        <w:spacing w:after="0" w:line="240" w:lineRule="auto"/>
        <w:jc w:val="both"/>
        <w:rPr>
          <w:rFonts w:ascii="Calibri" w:hAnsi="Calibri" w:cs="Calibri"/>
        </w:rPr>
      </w:pPr>
      <w:r w:rsidRPr="00702398">
        <w:rPr>
          <w:rFonts w:ascii="Calibri" w:hAnsi="Calibri" w:cs="Calibri"/>
        </w:rPr>
        <w:t>The College is cognisant of OIA guidance on considering whether it is appropriate to recommend compensation payments to higher education students for distress and inconvenience and the following guidelines will apply in such cases:</w:t>
      </w:r>
    </w:p>
    <w:p w14:paraId="55AB3962" w14:textId="77777777" w:rsidR="00D4244C" w:rsidRPr="00702398" w:rsidRDefault="00D4244C" w:rsidP="00D4244C">
      <w:pPr>
        <w:spacing w:after="0" w:line="240" w:lineRule="auto"/>
        <w:jc w:val="both"/>
        <w:rPr>
          <w:rFonts w:ascii="Calibri" w:hAnsi="Calibri" w:cs="Calibri"/>
        </w:rPr>
      </w:pPr>
    </w:p>
    <w:tbl>
      <w:tblPr>
        <w:tblStyle w:val="TableGrid3"/>
        <w:tblW w:w="0" w:type="auto"/>
        <w:tblInd w:w="323" w:type="dxa"/>
        <w:tblLook w:val="04A0" w:firstRow="1" w:lastRow="0" w:firstColumn="1" w:lastColumn="0" w:noHBand="0" w:noVBand="1"/>
      </w:tblPr>
      <w:tblGrid>
        <w:gridCol w:w="3925"/>
        <w:gridCol w:w="4111"/>
      </w:tblGrid>
      <w:tr w:rsidR="00D4244C" w:rsidRPr="00702398" w14:paraId="3E05B60C" w14:textId="77777777" w:rsidTr="00EA1DC0">
        <w:tc>
          <w:tcPr>
            <w:tcW w:w="3925" w:type="dxa"/>
            <w:shd w:val="clear" w:color="auto" w:fill="D9D9D9" w:themeFill="background1" w:themeFillShade="D9"/>
          </w:tcPr>
          <w:p w14:paraId="24C5561F" w14:textId="77777777" w:rsidR="00D4244C" w:rsidRPr="00702398" w:rsidRDefault="00D4244C" w:rsidP="00EA1DC0">
            <w:pPr>
              <w:jc w:val="both"/>
              <w:rPr>
                <w:rFonts w:ascii="Calibri" w:hAnsi="Calibri" w:cs="Calibri"/>
                <w:b/>
              </w:rPr>
            </w:pPr>
            <w:r w:rsidRPr="00702398">
              <w:rPr>
                <w:rFonts w:ascii="Calibri" w:hAnsi="Calibri" w:cs="Calibri"/>
                <w:b/>
              </w:rPr>
              <w:t>Level of Stress and Inconvenience</w:t>
            </w:r>
          </w:p>
        </w:tc>
        <w:tc>
          <w:tcPr>
            <w:tcW w:w="4111" w:type="dxa"/>
            <w:shd w:val="clear" w:color="auto" w:fill="D9D9D9" w:themeFill="background1" w:themeFillShade="D9"/>
          </w:tcPr>
          <w:p w14:paraId="41859DDB" w14:textId="77777777" w:rsidR="00D4244C" w:rsidRPr="00702398" w:rsidRDefault="00D4244C" w:rsidP="00EA1DC0">
            <w:pPr>
              <w:jc w:val="both"/>
              <w:rPr>
                <w:rFonts w:ascii="Calibri" w:hAnsi="Calibri" w:cs="Calibri"/>
                <w:b/>
              </w:rPr>
            </w:pPr>
            <w:r w:rsidRPr="00702398">
              <w:rPr>
                <w:rFonts w:ascii="Calibri" w:hAnsi="Calibri" w:cs="Calibri"/>
                <w:b/>
              </w:rPr>
              <w:t>Indicative Compensation</w:t>
            </w:r>
          </w:p>
        </w:tc>
      </w:tr>
      <w:tr w:rsidR="00D4244C" w:rsidRPr="00702398" w14:paraId="41DA5621" w14:textId="77777777" w:rsidTr="00EA1DC0">
        <w:tc>
          <w:tcPr>
            <w:tcW w:w="3925" w:type="dxa"/>
          </w:tcPr>
          <w:p w14:paraId="7C25BBE1" w14:textId="77777777" w:rsidR="00D4244C" w:rsidRPr="00702398" w:rsidRDefault="00D4244C" w:rsidP="00EA1DC0">
            <w:pPr>
              <w:jc w:val="both"/>
              <w:rPr>
                <w:rFonts w:ascii="Calibri" w:hAnsi="Calibri" w:cs="Calibri"/>
              </w:rPr>
            </w:pPr>
            <w:r w:rsidRPr="00702398">
              <w:rPr>
                <w:rFonts w:ascii="Calibri" w:hAnsi="Calibri" w:cs="Calibri"/>
              </w:rPr>
              <w:t xml:space="preserve">Moderate </w:t>
            </w:r>
          </w:p>
        </w:tc>
        <w:tc>
          <w:tcPr>
            <w:tcW w:w="4111" w:type="dxa"/>
          </w:tcPr>
          <w:p w14:paraId="4EA5988E" w14:textId="77777777" w:rsidR="00D4244C" w:rsidRPr="00702398" w:rsidRDefault="00D4244C" w:rsidP="00EA1DC0">
            <w:pPr>
              <w:jc w:val="both"/>
              <w:rPr>
                <w:rFonts w:ascii="Calibri" w:hAnsi="Calibri" w:cs="Calibri"/>
              </w:rPr>
            </w:pPr>
            <w:r w:rsidRPr="00702398">
              <w:rPr>
                <w:rFonts w:ascii="Calibri" w:hAnsi="Calibri" w:cs="Calibri"/>
              </w:rPr>
              <w:t>Up to 10%</w:t>
            </w:r>
          </w:p>
        </w:tc>
      </w:tr>
      <w:tr w:rsidR="00D4244C" w:rsidRPr="00702398" w14:paraId="750759E1" w14:textId="77777777" w:rsidTr="00EA1DC0">
        <w:tc>
          <w:tcPr>
            <w:tcW w:w="3925" w:type="dxa"/>
          </w:tcPr>
          <w:p w14:paraId="702701F5" w14:textId="77777777" w:rsidR="00D4244C" w:rsidRPr="00702398" w:rsidRDefault="00D4244C" w:rsidP="00EA1DC0">
            <w:pPr>
              <w:jc w:val="both"/>
              <w:rPr>
                <w:rFonts w:ascii="Calibri" w:hAnsi="Calibri" w:cs="Calibri"/>
              </w:rPr>
            </w:pPr>
            <w:r w:rsidRPr="00702398">
              <w:rPr>
                <w:rFonts w:ascii="Calibri" w:hAnsi="Calibri" w:cs="Calibri"/>
              </w:rPr>
              <w:t xml:space="preserve">Substantial </w:t>
            </w:r>
          </w:p>
        </w:tc>
        <w:tc>
          <w:tcPr>
            <w:tcW w:w="4111" w:type="dxa"/>
          </w:tcPr>
          <w:p w14:paraId="23830945" w14:textId="77777777" w:rsidR="00D4244C" w:rsidRPr="00702398" w:rsidRDefault="00D4244C" w:rsidP="00EA1DC0">
            <w:pPr>
              <w:jc w:val="both"/>
              <w:rPr>
                <w:rFonts w:ascii="Calibri" w:hAnsi="Calibri" w:cs="Calibri"/>
              </w:rPr>
            </w:pPr>
            <w:r w:rsidRPr="00702398">
              <w:rPr>
                <w:rFonts w:ascii="Calibri" w:hAnsi="Calibri" w:cs="Calibri"/>
              </w:rPr>
              <w:t>Up to 50%</w:t>
            </w:r>
          </w:p>
        </w:tc>
      </w:tr>
      <w:tr w:rsidR="00D4244C" w:rsidRPr="00702398" w14:paraId="302A9D4C" w14:textId="77777777" w:rsidTr="00EA1DC0">
        <w:tc>
          <w:tcPr>
            <w:tcW w:w="3925" w:type="dxa"/>
          </w:tcPr>
          <w:p w14:paraId="36100752" w14:textId="77777777" w:rsidR="00D4244C" w:rsidRPr="00702398" w:rsidRDefault="00D4244C" w:rsidP="00EA1DC0">
            <w:pPr>
              <w:jc w:val="both"/>
              <w:rPr>
                <w:rFonts w:ascii="Calibri" w:hAnsi="Calibri" w:cs="Calibri"/>
              </w:rPr>
            </w:pPr>
            <w:r w:rsidRPr="00702398">
              <w:rPr>
                <w:rFonts w:ascii="Calibri" w:hAnsi="Calibri" w:cs="Calibri"/>
              </w:rPr>
              <w:t xml:space="preserve">Severe </w:t>
            </w:r>
          </w:p>
        </w:tc>
        <w:tc>
          <w:tcPr>
            <w:tcW w:w="4111" w:type="dxa"/>
          </w:tcPr>
          <w:p w14:paraId="1FF5B4ED" w14:textId="77777777" w:rsidR="00D4244C" w:rsidRPr="00702398" w:rsidRDefault="00D4244C" w:rsidP="00EA1DC0">
            <w:pPr>
              <w:jc w:val="both"/>
              <w:rPr>
                <w:rFonts w:ascii="Calibri" w:hAnsi="Calibri" w:cs="Calibri"/>
              </w:rPr>
            </w:pPr>
            <w:r w:rsidRPr="00702398">
              <w:rPr>
                <w:rFonts w:ascii="Calibri" w:hAnsi="Calibri" w:cs="Calibri"/>
              </w:rPr>
              <w:t>Up to 90%</w:t>
            </w:r>
          </w:p>
        </w:tc>
      </w:tr>
    </w:tbl>
    <w:p w14:paraId="6DE14519" w14:textId="77777777" w:rsidR="00D4244C" w:rsidRPr="00702398" w:rsidRDefault="00D4244C" w:rsidP="00D4244C">
      <w:pPr>
        <w:spacing w:after="0" w:line="240" w:lineRule="auto"/>
        <w:jc w:val="both"/>
        <w:rPr>
          <w:rFonts w:ascii="Calibri" w:hAnsi="Calibri" w:cs="Calibri"/>
        </w:rPr>
      </w:pPr>
    </w:p>
    <w:p w14:paraId="7624BDC6" w14:textId="77777777" w:rsidR="00D4244C" w:rsidRPr="00702398" w:rsidRDefault="00D4244C" w:rsidP="00D4244C">
      <w:pPr>
        <w:spacing w:after="0" w:line="240" w:lineRule="auto"/>
        <w:jc w:val="both"/>
        <w:rPr>
          <w:rFonts w:ascii="Calibri" w:hAnsi="Calibri" w:cs="Calibri"/>
          <w:b/>
        </w:rPr>
      </w:pPr>
      <w:r w:rsidRPr="00702398">
        <w:rPr>
          <w:rFonts w:ascii="Calibri" w:hAnsi="Calibri" w:cs="Calibri"/>
          <w:b/>
        </w:rPr>
        <w:t>Moderate:</w:t>
      </w:r>
    </w:p>
    <w:p w14:paraId="7A915222" w14:textId="2779C038" w:rsidR="00D4244C" w:rsidRPr="00702398" w:rsidRDefault="00D4244C" w:rsidP="00D4244C">
      <w:pPr>
        <w:numPr>
          <w:ilvl w:val="0"/>
          <w:numId w:val="5"/>
        </w:numPr>
        <w:spacing w:after="0" w:line="240" w:lineRule="auto"/>
        <w:jc w:val="both"/>
        <w:rPr>
          <w:rFonts w:ascii="Calibri" w:hAnsi="Calibri" w:cs="Calibri"/>
        </w:rPr>
      </w:pPr>
      <w:r w:rsidRPr="00702398">
        <w:rPr>
          <w:rFonts w:ascii="Calibri" w:hAnsi="Calibri" w:cs="Calibri"/>
        </w:rPr>
        <w:t>An act or omission of the College which has caused some distress and inconvenience in the short term (</w:t>
      </w:r>
      <w:r w:rsidRPr="00702398">
        <w:rPr>
          <w:rFonts w:ascii="Calibri" w:hAnsi="Calibri" w:cs="Calibri"/>
        </w:rPr>
        <w:t>e.g.,</w:t>
      </w:r>
      <w:r w:rsidRPr="00702398">
        <w:rPr>
          <w:rFonts w:ascii="Calibri" w:hAnsi="Calibri" w:cs="Calibri"/>
        </w:rPr>
        <w:t xml:space="preserve"> less than 6 months).</w:t>
      </w:r>
    </w:p>
    <w:p w14:paraId="3408D046" w14:textId="1ED90165" w:rsidR="00D4244C" w:rsidRPr="00702398" w:rsidRDefault="00D4244C" w:rsidP="00D4244C">
      <w:pPr>
        <w:numPr>
          <w:ilvl w:val="0"/>
          <w:numId w:val="5"/>
        </w:numPr>
        <w:spacing w:after="0" w:line="240" w:lineRule="auto"/>
        <w:jc w:val="both"/>
        <w:rPr>
          <w:rFonts w:ascii="Calibri" w:hAnsi="Calibri" w:cs="Calibri"/>
        </w:rPr>
      </w:pPr>
      <w:r w:rsidRPr="00702398">
        <w:rPr>
          <w:rFonts w:ascii="Calibri" w:hAnsi="Calibri" w:cs="Calibri"/>
        </w:rPr>
        <w:t>Moderate delays (</w:t>
      </w:r>
      <w:r w:rsidRPr="00702398">
        <w:rPr>
          <w:rFonts w:ascii="Calibri" w:hAnsi="Calibri" w:cs="Calibri"/>
        </w:rPr>
        <w:t>i.e.,</w:t>
      </w:r>
      <w:r w:rsidRPr="00702398">
        <w:rPr>
          <w:rFonts w:ascii="Calibri" w:hAnsi="Calibri" w:cs="Calibri"/>
        </w:rPr>
        <w:t xml:space="preserve"> less than 6 months) or other procedural irregularities on the part of the College where there is evidence to suggest the student suffered material disadvantage.</w:t>
      </w:r>
    </w:p>
    <w:p w14:paraId="512AD2E3" w14:textId="77777777" w:rsidR="00D4244C" w:rsidRPr="00702398" w:rsidRDefault="00D4244C" w:rsidP="00D4244C">
      <w:pPr>
        <w:spacing w:after="0" w:line="240" w:lineRule="auto"/>
        <w:ind w:left="720"/>
        <w:jc w:val="both"/>
        <w:rPr>
          <w:rFonts w:ascii="Calibri" w:hAnsi="Calibri" w:cs="Calibri"/>
        </w:rPr>
      </w:pPr>
    </w:p>
    <w:p w14:paraId="72E936E9" w14:textId="77777777" w:rsidR="00D4244C" w:rsidRPr="00702398" w:rsidRDefault="00D4244C" w:rsidP="00D4244C">
      <w:pPr>
        <w:spacing w:after="0" w:line="240" w:lineRule="auto"/>
        <w:jc w:val="both"/>
        <w:rPr>
          <w:rFonts w:ascii="Calibri" w:hAnsi="Calibri" w:cs="Calibri"/>
          <w:b/>
        </w:rPr>
      </w:pPr>
      <w:r w:rsidRPr="00702398">
        <w:rPr>
          <w:rFonts w:ascii="Calibri" w:hAnsi="Calibri" w:cs="Calibri"/>
          <w:b/>
        </w:rPr>
        <w:t>Substantial:</w:t>
      </w:r>
    </w:p>
    <w:p w14:paraId="77EC90C9" w14:textId="13AD9CB7" w:rsidR="00D4244C" w:rsidRPr="00702398" w:rsidRDefault="00D4244C" w:rsidP="00D4244C">
      <w:pPr>
        <w:numPr>
          <w:ilvl w:val="0"/>
          <w:numId w:val="6"/>
        </w:numPr>
        <w:spacing w:after="0" w:line="240" w:lineRule="auto"/>
        <w:jc w:val="both"/>
        <w:rPr>
          <w:rFonts w:ascii="Calibri" w:hAnsi="Calibri" w:cs="Calibri"/>
        </w:rPr>
      </w:pPr>
      <w:r w:rsidRPr="00702398">
        <w:rPr>
          <w:rFonts w:ascii="Calibri" w:hAnsi="Calibri" w:cs="Calibri"/>
        </w:rPr>
        <w:t>An act or omission of the College which has caused some distress and inconvenience in the long term (</w:t>
      </w:r>
      <w:r w:rsidRPr="00702398">
        <w:rPr>
          <w:rFonts w:ascii="Calibri" w:hAnsi="Calibri" w:cs="Calibri"/>
        </w:rPr>
        <w:t>e.g.,</w:t>
      </w:r>
      <w:r w:rsidRPr="00702398">
        <w:rPr>
          <w:rFonts w:ascii="Calibri" w:hAnsi="Calibri" w:cs="Calibri"/>
        </w:rPr>
        <w:t xml:space="preserve"> more than 6 months). </w:t>
      </w:r>
    </w:p>
    <w:p w14:paraId="497B70DF" w14:textId="5D0CF097" w:rsidR="00D4244C" w:rsidRPr="00702398" w:rsidRDefault="00D4244C" w:rsidP="00D4244C">
      <w:pPr>
        <w:numPr>
          <w:ilvl w:val="0"/>
          <w:numId w:val="6"/>
        </w:numPr>
        <w:spacing w:after="0" w:line="240" w:lineRule="auto"/>
        <w:jc w:val="both"/>
        <w:rPr>
          <w:rFonts w:ascii="Calibri" w:hAnsi="Calibri" w:cs="Calibri"/>
        </w:rPr>
      </w:pPr>
      <w:r w:rsidRPr="00702398">
        <w:rPr>
          <w:rFonts w:ascii="Calibri" w:hAnsi="Calibri" w:cs="Calibri"/>
        </w:rPr>
        <w:lastRenderedPageBreak/>
        <w:t>Substantial mishandling of the complaint by the College which has resulted in or caused unreasonable or avoidable substantial delay (</w:t>
      </w:r>
      <w:r w:rsidRPr="00702398">
        <w:rPr>
          <w:rFonts w:ascii="Calibri" w:hAnsi="Calibri" w:cs="Calibri"/>
        </w:rPr>
        <w:t>e.g.,</w:t>
      </w:r>
      <w:r w:rsidRPr="00702398">
        <w:rPr>
          <w:rFonts w:ascii="Calibri" w:hAnsi="Calibri" w:cs="Calibri"/>
        </w:rPr>
        <w:t xml:space="preserve"> over 6 months) where there is evidence to suggest the student suffered material disadvantage.</w:t>
      </w:r>
    </w:p>
    <w:p w14:paraId="1FA5EC9C" w14:textId="77777777" w:rsidR="00D4244C" w:rsidRPr="00702398" w:rsidRDefault="00D4244C" w:rsidP="00D4244C">
      <w:pPr>
        <w:spacing w:after="0" w:line="240" w:lineRule="auto"/>
        <w:ind w:left="720"/>
        <w:jc w:val="both"/>
        <w:rPr>
          <w:rFonts w:ascii="Calibri" w:hAnsi="Calibri" w:cs="Calibri"/>
        </w:rPr>
      </w:pPr>
    </w:p>
    <w:p w14:paraId="3B72EF18" w14:textId="77777777" w:rsidR="00D4244C" w:rsidRPr="00702398" w:rsidRDefault="00D4244C" w:rsidP="00D4244C">
      <w:pPr>
        <w:spacing w:after="0" w:line="240" w:lineRule="auto"/>
        <w:jc w:val="both"/>
        <w:rPr>
          <w:rFonts w:ascii="Calibri" w:hAnsi="Calibri" w:cs="Calibri"/>
          <w:b/>
        </w:rPr>
      </w:pPr>
      <w:r w:rsidRPr="00702398">
        <w:rPr>
          <w:rFonts w:ascii="Calibri" w:hAnsi="Calibri" w:cs="Calibri"/>
          <w:b/>
        </w:rPr>
        <w:t xml:space="preserve">Severe: </w:t>
      </w:r>
    </w:p>
    <w:p w14:paraId="434B3E11" w14:textId="68FAAF43" w:rsidR="00D4244C" w:rsidRPr="00702398" w:rsidRDefault="00D4244C" w:rsidP="00D4244C">
      <w:pPr>
        <w:numPr>
          <w:ilvl w:val="0"/>
          <w:numId w:val="7"/>
        </w:numPr>
        <w:spacing w:after="0" w:line="240" w:lineRule="auto"/>
        <w:jc w:val="both"/>
        <w:rPr>
          <w:rFonts w:ascii="Calibri" w:hAnsi="Calibri" w:cs="Calibri"/>
        </w:rPr>
      </w:pPr>
      <w:r w:rsidRPr="00702398">
        <w:rPr>
          <w:rFonts w:ascii="Calibri" w:hAnsi="Calibri" w:cs="Calibri"/>
        </w:rPr>
        <w:t xml:space="preserve">Cogent and contemporaneous evidence to suggest that as a result of the </w:t>
      </w:r>
      <w:r>
        <w:rPr>
          <w:rFonts w:ascii="Calibri" w:hAnsi="Calibri" w:cs="Calibri"/>
        </w:rPr>
        <w:t>C</w:t>
      </w:r>
      <w:r w:rsidRPr="00702398">
        <w:rPr>
          <w:rFonts w:ascii="Calibri" w:hAnsi="Calibri" w:cs="Calibri"/>
        </w:rPr>
        <w:t xml:space="preserve">ollege’s acts or omissions the student has suffered from ill health. </w:t>
      </w:r>
    </w:p>
    <w:p w14:paraId="3898DD8E" w14:textId="77777777" w:rsidR="00D4244C" w:rsidRPr="00702398" w:rsidRDefault="00D4244C" w:rsidP="00D4244C">
      <w:pPr>
        <w:numPr>
          <w:ilvl w:val="0"/>
          <w:numId w:val="7"/>
        </w:numPr>
        <w:spacing w:after="0" w:line="240" w:lineRule="auto"/>
        <w:jc w:val="both"/>
        <w:rPr>
          <w:rFonts w:ascii="Calibri" w:hAnsi="Calibri" w:cs="Calibri"/>
        </w:rPr>
      </w:pPr>
      <w:r w:rsidRPr="00702398">
        <w:rPr>
          <w:rFonts w:ascii="Calibri" w:hAnsi="Calibri" w:cs="Calibri"/>
        </w:rPr>
        <w:t xml:space="preserve">Major maladministration, procedural flaws, </w:t>
      </w:r>
      <w:proofErr w:type="gramStart"/>
      <w:r w:rsidRPr="00702398">
        <w:rPr>
          <w:rFonts w:ascii="Calibri" w:hAnsi="Calibri" w:cs="Calibri"/>
        </w:rPr>
        <w:t>delays</w:t>
      </w:r>
      <w:proofErr w:type="gramEnd"/>
      <w:r w:rsidRPr="00702398">
        <w:rPr>
          <w:rFonts w:ascii="Calibri" w:hAnsi="Calibri" w:cs="Calibri"/>
        </w:rPr>
        <w:t xml:space="preserve"> or other breaches of natural justice in the College’s internal process resulting in material disadvantage to the student. </w:t>
      </w:r>
    </w:p>
    <w:p w14:paraId="5B786015" w14:textId="77777777" w:rsidR="00D4244C" w:rsidRPr="00702398" w:rsidRDefault="00D4244C" w:rsidP="00D4244C">
      <w:pPr>
        <w:numPr>
          <w:ilvl w:val="0"/>
          <w:numId w:val="7"/>
        </w:numPr>
        <w:spacing w:after="0" w:line="240" w:lineRule="auto"/>
        <w:jc w:val="both"/>
        <w:rPr>
          <w:rFonts w:ascii="Calibri" w:hAnsi="Calibri" w:cs="Calibri"/>
        </w:rPr>
      </w:pPr>
      <w:r w:rsidRPr="00702398">
        <w:rPr>
          <w:rFonts w:ascii="Calibri" w:hAnsi="Calibri" w:cs="Calibri"/>
        </w:rPr>
        <w:t xml:space="preserve">Where there has been a clear material disadvantage to a student </w:t>
      </w:r>
      <w:proofErr w:type="gramStart"/>
      <w:r w:rsidRPr="00702398">
        <w:rPr>
          <w:rFonts w:ascii="Calibri" w:hAnsi="Calibri" w:cs="Calibri"/>
        </w:rPr>
        <w:t>as a result of</w:t>
      </w:r>
      <w:proofErr w:type="gramEnd"/>
      <w:r w:rsidRPr="00702398">
        <w:rPr>
          <w:rFonts w:ascii="Calibri" w:hAnsi="Calibri" w:cs="Calibri"/>
        </w:rPr>
        <w:t xml:space="preserve"> the College’s acts or omissions, but a practical remedy is inappropriate or impossible.</w:t>
      </w:r>
    </w:p>
    <w:p w14:paraId="340AFB1E" w14:textId="77777777" w:rsidR="00D4244C" w:rsidRPr="00702398" w:rsidRDefault="00D4244C" w:rsidP="00D4244C">
      <w:pPr>
        <w:spacing w:after="0" w:line="240" w:lineRule="auto"/>
        <w:jc w:val="both"/>
        <w:rPr>
          <w:rFonts w:ascii="Calibri" w:hAnsi="Calibri" w:cs="Calibri"/>
        </w:rPr>
      </w:pPr>
    </w:p>
    <w:p w14:paraId="2450808C" w14:textId="77777777" w:rsidR="00D4244C" w:rsidRPr="00702398" w:rsidRDefault="00D4244C" w:rsidP="00D4244C">
      <w:pPr>
        <w:spacing w:after="0" w:line="240" w:lineRule="auto"/>
        <w:jc w:val="both"/>
        <w:rPr>
          <w:rFonts w:ascii="Calibri" w:hAnsi="Calibri" w:cs="Calibri"/>
          <w:b/>
          <w:sz w:val="24"/>
          <w:szCs w:val="24"/>
        </w:rPr>
      </w:pPr>
      <w:r w:rsidRPr="00702398">
        <w:rPr>
          <w:rFonts w:ascii="Calibri" w:hAnsi="Calibri" w:cs="Calibri"/>
          <w:b/>
          <w:sz w:val="24"/>
          <w:szCs w:val="24"/>
        </w:rPr>
        <w:t>Financial Implications of Refunds and Compensation Policy</w:t>
      </w:r>
    </w:p>
    <w:p w14:paraId="3F603BBF" w14:textId="77777777" w:rsidR="00D4244C" w:rsidRPr="00702398" w:rsidRDefault="00D4244C" w:rsidP="00D4244C">
      <w:pPr>
        <w:spacing w:after="0" w:line="240" w:lineRule="auto"/>
        <w:jc w:val="both"/>
        <w:rPr>
          <w:rFonts w:ascii="Calibri" w:hAnsi="Calibri" w:cs="Calibri"/>
          <w:b/>
          <w:sz w:val="24"/>
          <w:szCs w:val="24"/>
        </w:rPr>
      </w:pPr>
    </w:p>
    <w:p w14:paraId="69E0F3C3" w14:textId="77777777" w:rsidR="00D4244C" w:rsidRPr="00702398" w:rsidRDefault="00D4244C" w:rsidP="00D4244C">
      <w:pPr>
        <w:spacing w:after="0" w:line="240" w:lineRule="auto"/>
        <w:jc w:val="both"/>
        <w:rPr>
          <w:b/>
          <w:bCs/>
        </w:rPr>
      </w:pPr>
      <w:r w:rsidRPr="00702398">
        <w:rPr>
          <w:rFonts w:ascii="Calibri" w:hAnsi="Calibri" w:cs="Calibri"/>
        </w:rPr>
        <w:t>The College will incorporate provisions within its annual budget for the potential payment of tuition fee and other refunds and compensation payments to students. A combination of cash reserves and (where appropriate) insurance policies will be designated for those students where an increased risk of non-continuation of study has been identified.</w:t>
      </w:r>
    </w:p>
    <w:p w14:paraId="75F476D3" w14:textId="77777777" w:rsidR="00D4244C" w:rsidRDefault="00D4244C" w:rsidP="00D4244C">
      <w:pPr>
        <w:jc w:val="both"/>
        <w:rPr>
          <w:sz w:val="32"/>
          <w:szCs w:val="32"/>
        </w:rPr>
      </w:pPr>
    </w:p>
    <w:p w14:paraId="3CA40348" w14:textId="77777777" w:rsidR="008104AC" w:rsidRDefault="008104AC"/>
    <w:sectPr w:rsidR="008104A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C1DFC" w14:textId="77777777" w:rsidR="00D4244C" w:rsidRDefault="00D4244C" w:rsidP="00D4244C">
      <w:pPr>
        <w:spacing w:after="0" w:line="240" w:lineRule="auto"/>
      </w:pPr>
      <w:r>
        <w:separator/>
      </w:r>
    </w:p>
  </w:endnote>
  <w:endnote w:type="continuationSeparator" w:id="0">
    <w:p w14:paraId="1DF9E45C" w14:textId="77777777" w:rsidR="00D4244C" w:rsidRDefault="00D4244C" w:rsidP="00D4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7A09" w14:textId="653EC359" w:rsidR="00D4244C" w:rsidRDefault="00D4244C">
    <w:pPr>
      <w:pStyle w:val="Footer"/>
    </w:pPr>
    <w:r>
      <w:t>Refunds and Compensation Policy             Version 2.1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68CF" w14:textId="77777777" w:rsidR="00D4244C" w:rsidRDefault="00D4244C" w:rsidP="00D4244C">
      <w:pPr>
        <w:spacing w:after="0" w:line="240" w:lineRule="auto"/>
      </w:pPr>
      <w:r>
        <w:separator/>
      </w:r>
    </w:p>
  </w:footnote>
  <w:footnote w:type="continuationSeparator" w:id="0">
    <w:p w14:paraId="378E3599" w14:textId="77777777" w:rsidR="00D4244C" w:rsidRDefault="00D4244C" w:rsidP="00D4244C">
      <w:pPr>
        <w:spacing w:after="0" w:line="240" w:lineRule="auto"/>
      </w:pPr>
      <w:r>
        <w:continuationSeparator/>
      </w:r>
    </w:p>
  </w:footnote>
  <w:footnote w:id="1">
    <w:p w14:paraId="3E7F6793" w14:textId="77777777" w:rsidR="00D4244C" w:rsidRDefault="00D4244C" w:rsidP="00D4244C">
      <w:pPr>
        <w:pStyle w:val="FootnoteText"/>
      </w:pPr>
      <w:r>
        <w:rPr>
          <w:rStyle w:val="FootnoteReference"/>
        </w:rPr>
        <w:footnoteRef/>
      </w:r>
      <w:r>
        <w:t xml:space="preserve"> Staffordshire University Fees Refund &amp; Compensation Policy: </w:t>
      </w:r>
      <w:hyperlink r:id="rId1" w:history="1">
        <w:r w:rsidRPr="0042578D">
          <w:rPr>
            <w:rStyle w:val="Hyperlink"/>
          </w:rPr>
          <w:t>www.staffs.ac.uk/students/course-administration/academic-policies-and-regulations/refund-and-compensation-policy</w:t>
        </w:r>
      </w:hyperlink>
    </w:p>
    <w:p w14:paraId="38B55409" w14:textId="77777777" w:rsidR="00D4244C" w:rsidRDefault="00D4244C" w:rsidP="00D4244C">
      <w:pPr>
        <w:pStyle w:val="FootnoteText"/>
      </w:pPr>
    </w:p>
  </w:footnote>
  <w:footnote w:id="2">
    <w:p w14:paraId="1F65AABF" w14:textId="77777777" w:rsidR="00D4244C" w:rsidRDefault="00D4244C" w:rsidP="00D4244C">
      <w:pPr>
        <w:pStyle w:val="FootnoteText"/>
      </w:pPr>
      <w:r>
        <w:rPr>
          <w:rStyle w:val="FootnoteReference"/>
        </w:rPr>
        <w:footnoteRef/>
      </w:r>
      <w:r>
        <w:t xml:space="preserve"> North Hertfordshire College Refund Policy: </w:t>
      </w:r>
      <w:hyperlink r:id="rId2" w:history="1">
        <w:r w:rsidRPr="0042578D">
          <w:rPr>
            <w:rStyle w:val="Hyperlink"/>
          </w:rPr>
          <w:t>www.nhc.ac.uk/wp-content/uploads/2020/09/NHC-HE-Student-Compensation-and-Refund-Policy-1920-R.pdf</w:t>
        </w:r>
      </w:hyperlink>
    </w:p>
  </w:footnote>
  <w:footnote w:id="3">
    <w:p w14:paraId="1A54342F" w14:textId="77777777" w:rsidR="00D4244C" w:rsidRDefault="00D4244C" w:rsidP="00D4244C">
      <w:pPr>
        <w:pStyle w:val="FootnoteText"/>
      </w:pPr>
      <w:r>
        <w:rPr>
          <w:rStyle w:val="FootnoteReference"/>
        </w:rPr>
        <w:footnoteRef/>
      </w:r>
      <w:r>
        <w:t xml:space="preserve"> Swindon College Refund Policy: </w:t>
      </w:r>
      <w:hyperlink r:id="rId3" w:anchor=":~:text=Cancellations%20and%20refunds&amp;tex" w:history="1">
        <w:r>
          <w:rPr>
            <w:rStyle w:val="Hyperlink"/>
          </w:rPr>
          <w:t>www.newcollege.ac.uk/adults/terms-fees-and-onditions#:~:text=Cancellations%20and%20refunds&amp;tex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D643" w14:textId="2BEA2651" w:rsidR="00D4244C" w:rsidRDefault="00D4244C">
    <w:pPr>
      <w:pStyle w:val="Header"/>
    </w:pPr>
    <w:r>
      <w:rPr>
        <w:noProof/>
      </w:rPr>
      <w:drawing>
        <wp:anchor distT="0" distB="0" distL="114300" distR="114300" simplePos="0" relativeHeight="251658240" behindDoc="1" locked="0" layoutInCell="1" allowOverlap="1" wp14:anchorId="37738FA7" wp14:editId="36993F11">
          <wp:simplePos x="0" y="0"/>
          <wp:positionH relativeFrom="margin">
            <wp:align>left</wp:align>
          </wp:positionH>
          <wp:positionV relativeFrom="paragraph">
            <wp:posOffset>-182880</wp:posOffset>
          </wp:positionV>
          <wp:extent cx="1114425" cy="504825"/>
          <wp:effectExtent l="0" t="0" r="9525" b="9525"/>
          <wp:wrapNone/>
          <wp:docPr id="1816497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504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D332A"/>
    <w:multiLevelType w:val="hybridMultilevel"/>
    <w:tmpl w:val="10BE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92B5D"/>
    <w:multiLevelType w:val="hybridMultilevel"/>
    <w:tmpl w:val="9CF2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1974"/>
    <w:multiLevelType w:val="hybridMultilevel"/>
    <w:tmpl w:val="7296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D1B5F"/>
    <w:multiLevelType w:val="hybridMultilevel"/>
    <w:tmpl w:val="97203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4F4BD0"/>
    <w:multiLevelType w:val="hybridMultilevel"/>
    <w:tmpl w:val="A520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94639C"/>
    <w:multiLevelType w:val="hybridMultilevel"/>
    <w:tmpl w:val="4C84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5878DB"/>
    <w:multiLevelType w:val="hybridMultilevel"/>
    <w:tmpl w:val="745EB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844379">
    <w:abstractNumId w:val="3"/>
  </w:num>
  <w:num w:numId="2" w16cid:durableId="2061436957">
    <w:abstractNumId w:val="0"/>
  </w:num>
  <w:num w:numId="3" w16cid:durableId="2125691313">
    <w:abstractNumId w:val="4"/>
  </w:num>
  <w:num w:numId="4" w16cid:durableId="1185168726">
    <w:abstractNumId w:val="5"/>
  </w:num>
  <w:num w:numId="5" w16cid:durableId="1230311337">
    <w:abstractNumId w:val="1"/>
  </w:num>
  <w:num w:numId="6" w16cid:durableId="2041666117">
    <w:abstractNumId w:val="2"/>
  </w:num>
  <w:num w:numId="7" w16cid:durableId="1686517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4C"/>
    <w:rsid w:val="008104AC"/>
    <w:rsid w:val="008272C8"/>
    <w:rsid w:val="009949CC"/>
    <w:rsid w:val="00BE189F"/>
    <w:rsid w:val="00D4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942A58"/>
  <w15:chartTrackingRefBased/>
  <w15:docId w15:val="{AFAF5281-AD04-4E50-95F8-6872EEAF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4244C"/>
    <w:pPr>
      <w:spacing w:after="0" w:line="240" w:lineRule="auto"/>
    </w:pPr>
    <w:rPr>
      <w:sz w:val="20"/>
      <w:szCs w:val="20"/>
    </w:rPr>
  </w:style>
  <w:style w:type="character" w:customStyle="1" w:styleId="FootnoteTextChar">
    <w:name w:val="Footnote Text Char"/>
    <w:basedOn w:val="DefaultParagraphFont"/>
    <w:link w:val="FootnoteText"/>
    <w:uiPriority w:val="99"/>
    <w:rsid w:val="00D4244C"/>
    <w:rPr>
      <w:sz w:val="20"/>
      <w:szCs w:val="20"/>
    </w:rPr>
  </w:style>
  <w:style w:type="character" w:styleId="FootnoteReference">
    <w:name w:val="footnote reference"/>
    <w:basedOn w:val="DefaultParagraphFont"/>
    <w:uiPriority w:val="99"/>
    <w:unhideWhenUsed/>
    <w:rsid w:val="00D4244C"/>
    <w:rPr>
      <w:vertAlign w:val="superscript"/>
    </w:rPr>
  </w:style>
  <w:style w:type="character" w:styleId="Hyperlink">
    <w:name w:val="Hyperlink"/>
    <w:basedOn w:val="DefaultParagraphFont"/>
    <w:uiPriority w:val="99"/>
    <w:unhideWhenUsed/>
    <w:rsid w:val="00D4244C"/>
    <w:rPr>
      <w:color w:val="0563C1" w:themeColor="hyperlink"/>
      <w:u w:val="single"/>
    </w:rPr>
  </w:style>
  <w:style w:type="table" w:customStyle="1" w:styleId="TableGrid3">
    <w:name w:val="Table Grid3"/>
    <w:basedOn w:val="TableNormal"/>
    <w:next w:val="TableGrid"/>
    <w:uiPriority w:val="39"/>
    <w:rsid w:val="00D42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2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44C"/>
  </w:style>
  <w:style w:type="paragraph" w:styleId="Footer">
    <w:name w:val="footer"/>
    <w:basedOn w:val="Normal"/>
    <w:link w:val="FooterChar"/>
    <w:uiPriority w:val="99"/>
    <w:unhideWhenUsed/>
    <w:rsid w:val="00D42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ewcollege.ac.uk/adults/terms-fees-and-onditions" TargetMode="External"/><Relationship Id="rId2" Type="http://schemas.openxmlformats.org/officeDocument/2006/relationships/hyperlink" Target="http://www.nhc.ac.uk/wp-content/uploads/2020/09/NHC-HE-Student-Compensation-and-Refund-Policy-1920-R.pdf" TargetMode="External"/><Relationship Id="rId1" Type="http://schemas.openxmlformats.org/officeDocument/2006/relationships/hyperlink" Target="http://www.staffs.ac.uk/students/course-administration/academic-policies-and-regulations/refund-and-compensat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1497</Words>
  <Characters>8537</Characters>
  <Application>Microsoft Office Word</Application>
  <DocSecurity>0</DocSecurity>
  <Lines>71</Lines>
  <Paragraphs>20</Paragraphs>
  <ScaleCrop>false</ScaleCrop>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Hobart</dc:creator>
  <cp:keywords/>
  <dc:description/>
  <cp:lastModifiedBy>Mandy Hobart</cp:lastModifiedBy>
  <cp:revision>2</cp:revision>
  <dcterms:created xsi:type="dcterms:W3CDTF">2023-05-22T16:23:00Z</dcterms:created>
  <dcterms:modified xsi:type="dcterms:W3CDTF">2023-05-22T16:23:00Z</dcterms:modified>
</cp:coreProperties>
</file>